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1" name="image2.png"/>
            <a:graphic>
              <a:graphicData uri="http://schemas.openxmlformats.org/drawingml/2006/picture">
                <pic:pic>
                  <pic:nvPicPr>
                    <pic:cNvPr id="0" name="image2.png"/>
                    <pic:cNvPicPr preferRelativeResize="0"/>
                  </pic:nvPicPr>
                  <pic:blipFill>
                    <a:blip r:embed="rId7"/>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courses are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w:t>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16 May 2022 (1 pm - 4.30 pm)</w:t>
            </w:r>
          </w:p>
        </w:tc>
      </w:tr>
    </w:tbl>
    <w:p w:rsidR="00000000" w:rsidDel="00000000" w:rsidP="00000000" w:rsidRDefault="00000000" w:rsidRPr="00000000" w14:paraId="0000001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C">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D">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1">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3">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5">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7">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A">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B">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the possible signs and symptoms of child abuse.</w:t>
      </w: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your role and responsibilities and that of other agencies.</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Discuss the challenges faced in dealing with child abuse.</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Access further support and training.</w:t>
      </w:r>
      <w:r w:rsidDel="00000000" w:rsidR="00000000" w:rsidRPr="00000000">
        <w:rPr>
          <w:rtl w:val="0"/>
        </w:rPr>
      </w:r>
    </w:p>
    <w:p w:rsidR="00000000" w:rsidDel="00000000" w:rsidP="00000000" w:rsidRDefault="00000000" w:rsidRPr="00000000" w14:paraId="0000003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0">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you the day before the course date).</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Monday 16 May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ONLINE (1 pm – 4.30 pm)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£25/candidate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50800</wp:posOffset>
                </wp:positionV>
                <wp:extent cx="367665" cy="359410"/>
                <wp:effectExtent b="0" l="0" r="0" t="0"/>
                <wp:wrapNone/>
                <wp:docPr id="1030"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50800</wp:posOffset>
                </wp:positionV>
                <wp:extent cx="367665" cy="359410"/>
                <wp:effectExtent b="0" l="0" r="0" t="0"/>
                <wp:wrapNone/>
                <wp:docPr id="1030"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member orgs and £30/candidate for non-member orgs.</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i w:val="0"/>
          <w:color w:val="333399"/>
          <w:sz w:val="24"/>
          <w:szCs w:val="24"/>
          <w:vertAlign w:val="baseline"/>
        </w:rPr>
      </w:pPr>
      <w:r w:rsidDel="00000000" w:rsidR="00000000" w:rsidRPr="00000000">
        <w:rPr>
          <w:rtl w:val="0"/>
        </w:rPr>
      </w:r>
    </w:p>
    <w:tbl>
      <w:tblPr>
        <w:tblStyle w:val="Table2"/>
        <w:tblW w:w="10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727"/>
        <w:gridCol w:w="993"/>
        <w:gridCol w:w="2835"/>
        <w:gridCol w:w="2779"/>
        <w:tblGridChange w:id="0">
          <w:tblGrid>
            <w:gridCol w:w="350"/>
            <w:gridCol w:w="3727"/>
            <w:gridCol w:w="993"/>
            <w:gridCol w:w="2835"/>
            <w:gridCol w:w="2779"/>
          </w:tblGrid>
        </w:tblGridChange>
      </w:tblGrid>
      <w:tr>
        <w:trPr>
          <w:cantSplit w:val="0"/>
          <w:tblHeader w:val="0"/>
        </w:trPr>
        <w:tc>
          <w:tcPr>
            <w:vAlign w:val="top"/>
          </w:tcPr>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D">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4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c>
          <w:tcPr>
            <w:vAlign w:val="top"/>
          </w:tcPr>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send joining link to:</w:t>
            </w:r>
          </w:p>
        </w:tc>
      </w:tr>
      <w:tr>
        <w:trPr>
          <w:cantSplit w:val="0"/>
          <w:tblHeader w:val="0"/>
        </w:trPr>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completed form to </w:t>
      </w:r>
      <w:hyperlink r:id="rId12">
        <w:r w:rsidDel="00000000" w:rsidR="00000000" w:rsidRPr="00000000">
          <w:rPr>
            <w:rFonts w:ascii="Arial" w:cs="Arial" w:eastAsia="Arial" w:hAnsi="Arial"/>
            <w:color w:val="0000ff"/>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7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7E">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7F">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80">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81">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82">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83">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3">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4">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4"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voyc.org.uk/join-voyc" TargetMode="External"/><Relationship Id="rId13" Type="http://schemas.openxmlformats.org/officeDocument/2006/relationships/hyperlink" Target="mailto:juliet@voycdevon.org.uk" TargetMode="Externa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admin@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HGS7WITbkyxinVgsm6XLBtihg==">AMUW2mWt7vfiqGXuHMr6g3bQvkqdlyW/bYG9XZQCMGfQEcjNV6aGZhspG8X1kKUJWpVoSuThyQ7lZbi3c5izXNWxlyg/FDIK6KDX9kcSwkoty8/R9McV1W3GFACuz0q9POjUgrspFA2W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